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C5" w:rsidRDefault="005022C5" w:rsidP="005022C5">
      <w:pPr>
        <w:pStyle w:val="1mj"/>
      </w:pPr>
      <w:r>
        <w:t>Geologické děje</w:t>
      </w:r>
    </w:p>
    <w:p w:rsidR="005022C5" w:rsidRDefault="005022C5" w:rsidP="005022C5">
      <w:pPr>
        <w:pStyle w:val="Odstavecseseznamem"/>
        <w:numPr>
          <w:ilvl w:val="0"/>
          <w:numId w:val="1"/>
        </w:numPr>
      </w:pPr>
      <w:r>
        <w:t>nepřetržitě uvnitř i na povrchu planety</w:t>
      </w:r>
    </w:p>
    <w:p w:rsidR="005022C5" w:rsidRDefault="005022C5" w:rsidP="005022C5">
      <w:pPr>
        <w:pStyle w:val="Odstavecseseznamem"/>
        <w:numPr>
          <w:ilvl w:val="0"/>
          <w:numId w:val="1"/>
        </w:numPr>
      </w:pPr>
      <w:r>
        <w:t>projev okamžitě (zemětřesení, sopečná činnost X po milionech let (pohyb litosférických desek)</w:t>
      </w:r>
    </w:p>
    <w:p w:rsidR="005022C5" w:rsidRDefault="005022C5" w:rsidP="005022C5">
      <w:pPr>
        <w:pStyle w:val="Odstavecseseznamem"/>
        <w:numPr>
          <w:ilvl w:val="0"/>
          <w:numId w:val="1"/>
        </w:numPr>
        <w:tabs>
          <w:tab w:val="left" w:pos="1701"/>
        </w:tabs>
      </w:pPr>
      <w:r w:rsidRPr="00652A56">
        <w:rPr>
          <w:b/>
        </w:rPr>
        <w:t xml:space="preserve">vnitřní </w:t>
      </w:r>
      <w:r>
        <w:t>(tvořivé→pohoří, lávové proudy, …)- zdroj energie: zemské jádro</w:t>
      </w:r>
      <w:r>
        <w:br/>
        <w:t xml:space="preserve"> </w:t>
      </w:r>
      <w:r>
        <w:tab/>
        <w:t>-magmatická činnost</w:t>
      </w:r>
      <w:r>
        <w:br/>
        <w:t xml:space="preserve"> </w:t>
      </w:r>
      <w:r>
        <w:tab/>
        <w:t>-vrásnění a přeměna hornin</w:t>
      </w:r>
      <w:r>
        <w:br/>
        <w:t xml:space="preserve"> </w:t>
      </w:r>
      <w:r>
        <w:tab/>
        <w:t>-tektonická aktivita a zemětřesení</w:t>
      </w:r>
    </w:p>
    <w:p w:rsidR="005022C5" w:rsidRDefault="005022C5" w:rsidP="005022C5">
      <w:pPr>
        <w:pStyle w:val="Odstavecseseznamem"/>
        <w:numPr>
          <w:ilvl w:val="0"/>
          <w:numId w:val="1"/>
        </w:numPr>
        <w:tabs>
          <w:tab w:val="left" w:pos="1701"/>
        </w:tabs>
      </w:pPr>
      <w:r w:rsidRPr="00652A56">
        <w:rPr>
          <w:b/>
        </w:rPr>
        <w:t xml:space="preserve">vnější </w:t>
      </w:r>
      <w:r>
        <w:t>(</w:t>
      </w:r>
      <w:proofErr w:type="spellStart"/>
      <w:r>
        <w:t>ničivé</w:t>
      </w:r>
      <w:proofErr w:type="spellEnd"/>
      <w:r>
        <w:t>→zarovnávání) – zdroj energie: Slunce</w:t>
      </w:r>
      <w:r>
        <w:br/>
        <w:t xml:space="preserve"> </w:t>
      </w:r>
      <w:r>
        <w:tab/>
        <w:t>-zvětrávání</w:t>
      </w:r>
      <w:r>
        <w:br/>
        <w:t xml:space="preserve"> </w:t>
      </w:r>
      <w:r>
        <w:tab/>
        <w:t>-transport</w:t>
      </w:r>
      <w:r>
        <w:br/>
        <w:t xml:space="preserve"> </w:t>
      </w:r>
      <w:r>
        <w:tab/>
        <w:t>-ukládání</w:t>
      </w:r>
    </w:p>
    <w:p w:rsidR="005022C5" w:rsidRDefault="005022C5" w:rsidP="005022C5">
      <w:pPr>
        <w:pStyle w:val="2mj"/>
      </w:pPr>
      <w:r>
        <w:t>Vnitřní geologické děje</w:t>
      </w:r>
    </w:p>
    <w:p w:rsidR="009E28F9" w:rsidRDefault="009E28F9" w:rsidP="00F73F9E">
      <w:pPr>
        <w:pStyle w:val="Odstavecseseznamem"/>
        <w:numPr>
          <w:ilvl w:val="0"/>
          <w:numId w:val="5"/>
        </w:numPr>
        <w:tabs>
          <w:tab w:val="left" w:pos="1701"/>
          <w:tab w:val="left" w:pos="2127"/>
        </w:tabs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2533650</wp:posOffset>
            </wp:positionV>
            <wp:extent cx="2305050" cy="1381125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2C5" w:rsidRPr="00652A56">
        <w:rPr>
          <w:b/>
        </w:rPr>
        <w:t>litosférické desky</w:t>
      </w:r>
      <w:r w:rsidR="005022C5" w:rsidRPr="00652A56">
        <w:rPr>
          <w:b/>
        </w:rPr>
        <w:br/>
      </w:r>
      <w:r w:rsidR="005022C5">
        <w:t xml:space="preserve"> </w:t>
      </w:r>
      <w:r w:rsidR="005022C5">
        <w:tab/>
        <w:t>-kontinentální a oceánské</w:t>
      </w:r>
      <w:r w:rsidR="005022C5">
        <w:br/>
        <w:t xml:space="preserve"> </w:t>
      </w:r>
      <w:r w:rsidR="005022C5">
        <w:tab/>
        <w:t>-šelf, kontinentální svah a úpatí</w:t>
      </w:r>
      <w:r w:rsidR="005022C5">
        <w:br/>
        <w:t xml:space="preserve"> </w:t>
      </w:r>
      <w:r w:rsidR="005022C5">
        <w:tab/>
        <w:t>-pohyb po astenosféře (nejsvrchnější vrstva Země)</w:t>
      </w:r>
      <w:r w:rsidR="005022C5">
        <w:br/>
        <w:t xml:space="preserve"> </w:t>
      </w:r>
      <w:r w:rsidR="005022C5">
        <w:tab/>
      </w:r>
      <w:r w:rsidR="005022C5">
        <w:tab/>
        <w:t>•odsouvání, srážka, podsouvání, vodorovný pohyb</w:t>
      </w:r>
      <w:r w:rsidR="005022C5">
        <w:br/>
        <w:t xml:space="preserve"> </w:t>
      </w:r>
      <w:r w:rsidR="005022C5">
        <w:tab/>
      </w:r>
      <w:r w:rsidR="005022C5">
        <w:tab/>
        <w:t>•</w:t>
      </w:r>
      <w:proofErr w:type="spellStart"/>
      <w:r w:rsidR="005022C5">
        <w:t>subdukční</w:t>
      </w:r>
      <w:proofErr w:type="spellEnd"/>
      <w:r w:rsidR="005022C5">
        <w:t xml:space="preserve"> zóny- sopky → mísení hornin obou desek→andezit</w:t>
      </w:r>
      <w:r w:rsidR="005022C5">
        <w:br/>
        <w:t xml:space="preserve"> </w:t>
      </w:r>
      <w:r w:rsidR="005022C5">
        <w:tab/>
      </w:r>
      <w:r w:rsidR="005022C5">
        <w:tab/>
        <w:t>•zlom- zemětřesení (př. Kalifornie)</w:t>
      </w:r>
      <w:r w:rsidR="005022C5">
        <w:br/>
        <w:t xml:space="preserve"> </w:t>
      </w:r>
      <w:r w:rsidR="005022C5">
        <w:tab/>
        <w:t>-</w:t>
      </w:r>
      <w:proofErr w:type="spellStart"/>
      <w:r w:rsidR="005022C5">
        <w:t>středooceánské</w:t>
      </w:r>
      <w:proofErr w:type="spellEnd"/>
      <w:r w:rsidR="005022C5">
        <w:t xml:space="preserve"> hřbety</w:t>
      </w:r>
      <w:r w:rsidR="00F73F9E">
        <w:br/>
        <w:t xml:space="preserve"> </w:t>
      </w:r>
      <w:r w:rsidR="00F73F9E">
        <w:tab/>
        <w:t>- je jich 9: Severoamerická, Jihoamerická, Pacifická (Tichý oceán), Antarktická,</w:t>
      </w:r>
      <w:r w:rsidR="00F73F9E">
        <w:br/>
        <w:t xml:space="preserve">    </w:t>
      </w:r>
      <w:r w:rsidR="00F73F9E">
        <w:tab/>
      </w:r>
      <w:r w:rsidR="00F73F9E">
        <w:tab/>
        <w:t xml:space="preserve">Africká, Euroasijská, </w:t>
      </w:r>
      <w:proofErr w:type="spellStart"/>
      <w:r w:rsidR="00F73F9E">
        <w:t>Indoaustralská</w:t>
      </w:r>
      <w:proofErr w:type="spellEnd"/>
      <w:r w:rsidR="00F73F9E">
        <w:t xml:space="preserve">, </w:t>
      </w:r>
      <w:proofErr w:type="spellStart"/>
      <w:r w:rsidR="00F73F9E">
        <w:t>Nazca</w:t>
      </w:r>
      <w:proofErr w:type="spellEnd"/>
      <w:r w:rsidR="00F73F9E">
        <w:t>, Arabská</w:t>
      </w:r>
      <w:r w:rsidR="00F73F9E">
        <w:br/>
        <w:t xml:space="preserve"> </w:t>
      </w:r>
      <w:r w:rsidR="00F73F9E">
        <w:tab/>
        <w:t>-šelf: kontinent pod hladinou</w:t>
      </w:r>
      <w:r w:rsidR="00F73F9E">
        <w:br/>
        <w:t xml:space="preserve"> </w:t>
      </w:r>
      <w:r w:rsidR="00F73F9E">
        <w:tab/>
        <w:t>-šelfové moře: moře na okrajích kontinentů</w:t>
      </w:r>
      <w:r>
        <w:br/>
        <w:t xml:space="preserve"> </w:t>
      </w:r>
      <w:r>
        <w:tab/>
        <w:t xml:space="preserve">-v blízkosti </w:t>
      </w:r>
      <w:proofErr w:type="spellStart"/>
      <w:r>
        <w:t>středooceánských</w:t>
      </w:r>
      <w:proofErr w:type="spellEnd"/>
      <w:r>
        <w:t xml:space="preserve"> hřbetů se zdržují sirné bakterie (živí se sírou) a </w:t>
      </w:r>
      <w:proofErr w:type="spellStart"/>
      <w:r>
        <w:t>rounatci</w:t>
      </w:r>
      <w:proofErr w:type="spellEnd"/>
      <w:r>
        <w:t xml:space="preserve"> (živí se sirnými bakteriemi)</w:t>
      </w:r>
    </w:p>
    <w:p w:rsidR="00F73F9E" w:rsidRPr="005022C5" w:rsidRDefault="009E28F9" w:rsidP="009E28F9">
      <w:pPr>
        <w:pStyle w:val="Odstavecseseznamem"/>
        <w:tabs>
          <w:tab w:val="left" w:pos="1701"/>
          <w:tab w:val="left" w:pos="2127"/>
        </w:tabs>
        <w:ind w:left="1440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120015</wp:posOffset>
            </wp:positionV>
            <wp:extent cx="2257425" cy="1028700"/>
            <wp:effectExtent l="19050" t="0" r="9525" b="0"/>
            <wp:wrapNone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2C5" w:rsidRDefault="009E28F9" w:rsidP="005022C5">
      <w:pPr>
        <w:pStyle w:val="Odstavecseseznamem"/>
        <w:tabs>
          <w:tab w:val="left" w:pos="1701"/>
        </w:tabs>
        <w:ind w:left="1440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1076325</wp:posOffset>
            </wp:positionV>
            <wp:extent cx="3524250" cy="1390650"/>
            <wp:effectExtent l="19050" t="0" r="0" b="0"/>
            <wp:wrapNone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2C5">
        <w:t xml:space="preserve"> </w:t>
      </w:r>
      <w:r w:rsidR="005022C5">
        <w:tab/>
      </w:r>
    </w:p>
    <w:sectPr w:rsidR="005022C5" w:rsidSect="009E2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241C"/>
    <w:multiLevelType w:val="hybridMultilevel"/>
    <w:tmpl w:val="FCF8606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636710"/>
    <w:multiLevelType w:val="hybridMultilevel"/>
    <w:tmpl w:val="51A6CF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360B4F"/>
    <w:multiLevelType w:val="hybridMultilevel"/>
    <w:tmpl w:val="28F815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0D7E71"/>
    <w:multiLevelType w:val="hybridMultilevel"/>
    <w:tmpl w:val="1FF088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E542687"/>
    <w:multiLevelType w:val="hybridMultilevel"/>
    <w:tmpl w:val="A44EC7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22C5"/>
    <w:rsid w:val="002903F2"/>
    <w:rsid w:val="005022C5"/>
    <w:rsid w:val="00652A56"/>
    <w:rsid w:val="00656F38"/>
    <w:rsid w:val="006E25AE"/>
    <w:rsid w:val="008770E9"/>
    <w:rsid w:val="00930D5A"/>
    <w:rsid w:val="00946D4C"/>
    <w:rsid w:val="009E28F9"/>
    <w:rsid w:val="00AB687A"/>
    <w:rsid w:val="00E9153A"/>
    <w:rsid w:val="00ED6E61"/>
    <w:rsid w:val="00F7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8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mj">
    <w:name w:val="1 můj"/>
    <w:basedOn w:val="Normln"/>
    <w:qFormat/>
    <w:rsid w:val="006E25AE"/>
    <w:pPr>
      <w:ind w:left="0"/>
      <w:jc w:val="center"/>
    </w:pPr>
    <w:rPr>
      <w:rFonts w:ascii="Arial Black" w:hAnsi="Arial Black"/>
      <w:b/>
      <w:color w:val="FF0000"/>
      <w:sz w:val="52"/>
    </w:rPr>
  </w:style>
  <w:style w:type="paragraph" w:customStyle="1" w:styleId="2mj">
    <w:name w:val="2 můj"/>
    <w:basedOn w:val="Normln"/>
    <w:qFormat/>
    <w:rsid w:val="006E25AE"/>
    <w:pPr>
      <w:ind w:left="0"/>
      <w:jc w:val="center"/>
    </w:pPr>
    <w:rPr>
      <w:rFonts w:ascii="Arial" w:hAnsi="Arial"/>
      <w:b/>
      <w:color w:val="365F91" w:themeColor="accent1" w:themeShade="BF"/>
      <w:sz w:val="36"/>
    </w:rPr>
  </w:style>
  <w:style w:type="paragraph" w:customStyle="1" w:styleId="3mj">
    <w:name w:val="3 můj"/>
    <w:basedOn w:val="2mj"/>
    <w:qFormat/>
    <w:rsid w:val="006E25AE"/>
    <w:rPr>
      <w:color w:val="76923C" w:themeColor="accent3" w:themeShade="BF"/>
      <w:sz w:val="28"/>
    </w:rPr>
  </w:style>
  <w:style w:type="paragraph" w:styleId="Odstavecseseznamem">
    <w:name w:val="List Paragraph"/>
    <w:basedOn w:val="Normln"/>
    <w:uiPriority w:val="34"/>
    <w:qFormat/>
    <w:rsid w:val="005022C5"/>
    <w:p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4</cp:revision>
  <dcterms:created xsi:type="dcterms:W3CDTF">2015-03-12T18:43:00Z</dcterms:created>
  <dcterms:modified xsi:type="dcterms:W3CDTF">2015-03-18T11:37:00Z</dcterms:modified>
</cp:coreProperties>
</file>